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5A" w:rsidRPr="00A95D8C" w:rsidRDefault="009E575A" w:rsidP="009E575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>- триггер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триггером называется триггер с одним информационным входом, работающий так, что сигнал на выходе после переключения равен сигналу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до переключения, т. е. </w:t>
      </w:r>
      <w:r w:rsidRPr="00A95D8C">
        <w:rPr>
          <w:position w:val="-12"/>
          <w:sz w:val="28"/>
          <w:szCs w:val="28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4" o:title=""/>
          </v:shape>
          <o:OLEObject Type="Embed" ProgID="Equation.3" ShapeID="_x0000_i1025" DrawAspect="Content" ObjectID="_1638262619" r:id="rId5"/>
        </w:object>
      </w:r>
      <w:r w:rsidRPr="00A95D8C">
        <w:rPr>
          <w:sz w:val="28"/>
          <w:szCs w:val="28"/>
        </w:rPr>
        <w:t xml:space="preserve">. Основное назначение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ров- задержка сигнала, поданного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Он имеет информационный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(вход данных) и вход синхронизации С. Вход синхронизации С может быть статическим (потенциальным) и динамическим. У триггеров со статическим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записывается в течение времени, при котором уровень сигнала С=1. В триггерах с динамическим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</w:t>
      </w:r>
      <w:r w:rsidRPr="00A95D8C">
        <w:rPr>
          <w:sz w:val="28"/>
          <w:szCs w:val="28"/>
        </w:rPr>
        <w:t>т</w:t>
      </w:r>
      <w:r w:rsidRPr="00A95D8C">
        <w:rPr>
          <w:sz w:val="28"/>
          <w:szCs w:val="28"/>
        </w:rPr>
        <w:t>ся только в течение перепада напряжения на входе С. Динамический вход изображают на схемах треугольником. Если вершина треугольника обращена в сторону микросхемы (прямой динамический вход), то триггер срабатывает по фронту входного импульса, если от нее (инверсный динамический вход) – по срезу импульса. В таком триггере информация на выходе может быть з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 xml:space="preserve">держана на один такт по отношению к входной информации.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триггеры могут быть построены по различным схемам. На рис.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показана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 xml:space="preserve"> и его у</w:t>
      </w:r>
      <w:r w:rsidRPr="00A95D8C">
        <w:rPr>
          <w:sz w:val="28"/>
          <w:szCs w:val="28"/>
        </w:rPr>
        <w:t>с</w:t>
      </w:r>
      <w:r w:rsidRPr="00A95D8C">
        <w:rPr>
          <w:sz w:val="28"/>
          <w:szCs w:val="28"/>
        </w:rPr>
        <w:t xml:space="preserve">ловное обозначение. Триггер имеет прямые статические входы (управляющий сигнал- уровень логической единицы).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1 и </w:t>
      </w:r>
      <w:r w:rsidRPr="00A95D8C">
        <w:rPr>
          <w:sz w:val="28"/>
          <w:szCs w:val="28"/>
          <w:lang w:val="en-US"/>
        </w:rPr>
        <w:t>D</w:t>
      </w:r>
      <w:proofErr w:type="gramStart"/>
      <w:r w:rsidRPr="00A95D8C">
        <w:rPr>
          <w:sz w:val="28"/>
          <w:szCs w:val="28"/>
        </w:rPr>
        <w:t>2  выполнена</w:t>
      </w:r>
      <w:proofErr w:type="gramEnd"/>
      <w:r w:rsidRPr="00A95D8C">
        <w:rPr>
          <w:sz w:val="28"/>
          <w:szCs w:val="28"/>
        </w:rPr>
        <w:t xml:space="preserve"> сх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ма управления, а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 асинхронный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257800" cy="2514600"/>
            <wp:effectExtent l="0" t="0" r="0" b="0"/>
            <wp:docPr id="3" name="Рисунок 3" descr="Д-триг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-триг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3.1 -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уровень сигнала на входе С=0, то состояние триггера устойчиво и не зависит от уровня сигнала на информационном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При этом входы асинхронного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триггера с инверсными входами (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4) поступают па</w:t>
      </w:r>
      <w:r w:rsidRPr="00A95D8C">
        <w:rPr>
          <w:sz w:val="28"/>
          <w:szCs w:val="28"/>
        </w:rPr>
        <w:t>с</w:t>
      </w:r>
      <w:r w:rsidRPr="00A95D8C">
        <w:rPr>
          <w:sz w:val="28"/>
          <w:szCs w:val="28"/>
        </w:rPr>
        <w:t xml:space="preserve">сивные уровни </w:t>
      </w:r>
      <w:r w:rsidRPr="00A95D8C">
        <w:rPr>
          <w:position w:val="-6"/>
          <w:sz w:val="28"/>
          <w:szCs w:val="28"/>
        </w:rPr>
        <w:object w:dxaOrig="1080" w:dyaOrig="380">
          <v:shape id="_x0000_i1027" type="#_x0000_t75" style="width:54pt;height:18.75pt" o:ole="">
            <v:imagedata r:id="rId7" o:title=""/>
          </v:shape>
          <o:OLEObject Type="Embed" ProgID="Equation.3" ShapeID="_x0000_i1027" DrawAspect="Content" ObjectID="_1638262620" r:id="rId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на вход синхронизации уровня С=1 информация на прямом выходе повторять информацию, подаваемую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Следовательно, при С=0 </w:t>
      </w:r>
      <w:r w:rsidRPr="00A95D8C">
        <w:rPr>
          <w:position w:val="-12"/>
          <w:sz w:val="28"/>
          <w:szCs w:val="28"/>
        </w:rPr>
        <w:object w:dxaOrig="1260" w:dyaOrig="440">
          <v:shape id="_x0000_i1028" type="#_x0000_t75" style="width:63pt;height:21.75pt" o:ole="">
            <v:imagedata r:id="rId9" o:title=""/>
          </v:shape>
          <o:OLEObject Type="Embed" ProgID="Equation.3" ShapeID="_x0000_i1028" DrawAspect="Content" ObjectID="_1638262621" r:id="rId10"/>
        </w:object>
      </w:r>
      <w:r w:rsidRPr="00A95D8C">
        <w:rPr>
          <w:sz w:val="28"/>
          <w:szCs w:val="28"/>
        </w:rPr>
        <w:t xml:space="preserve">, а при С=1 </w:t>
      </w:r>
      <w:r w:rsidRPr="00A95D8C">
        <w:rPr>
          <w:position w:val="-12"/>
          <w:sz w:val="28"/>
          <w:szCs w:val="28"/>
        </w:rPr>
        <w:object w:dxaOrig="1260" w:dyaOrig="440">
          <v:shape id="_x0000_i1029" type="#_x0000_t75" style="width:63pt;height:21.75pt" o:ole="">
            <v:imagedata r:id="rId11" o:title=""/>
          </v:shape>
          <o:OLEObject Type="Embed" ProgID="Equation.3" ShapeID="_x0000_i1029" DrawAspect="Content" ObjectID="_1638262622" r:id="rId12"/>
        </w:object>
      </w:r>
      <w:r w:rsidRPr="00A95D8C">
        <w:rPr>
          <w:sz w:val="28"/>
          <w:szCs w:val="28"/>
        </w:rPr>
        <w:t xml:space="preserve">, временные диаграммы, поясняющие работу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триггера, приведены на рис. 3.1, </w:t>
      </w:r>
      <w:r w:rsidRPr="00A95D8C">
        <w:rPr>
          <w:i/>
          <w:sz w:val="28"/>
          <w:szCs w:val="28"/>
        </w:rPr>
        <w:t>б.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переходов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в полной и сокращенной форме пре</w:t>
      </w:r>
      <w:r w:rsidRPr="00A95D8C">
        <w:rPr>
          <w:sz w:val="28"/>
          <w:szCs w:val="28"/>
        </w:rPr>
        <w:t>д</w:t>
      </w:r>
      <w:r w:rsidRPr="00A95D8C">
        <w:rPr>
          <w:sz w:val="28"/>
          <w:szCs w:val="28"/>
        </w:rPr>
        <w:t xml:space="preserve">ставлена в таблице 3.1, </w:t>
      </w:r>
      <w:r w:rsidRPr="00A95D8C">
        <w:rPr>
          <w:i/>
          <w:sz w:val="28"/>
          <w:szCs w:val="28"/>
        </w:rPr>
        <w:t xml:space="preserve">а </w:t>
      </w:r>
      <w:proofErr w:type="gramStart"/>
      <w:r w:rsidRPr="00A95D8C">
        <w:rPr>
          <w:sz w:val="28"/>
          <w:szCs w:val="28"/>
        </w:rPr>
        <w:t xml:space="preserve">и </w:t>
      </w:r>
      <w:r w:rsidRPr="00A95D8C">
        <w:rPr>
          <w:i/>
          <w:sz w:val="28"/>
          <w:szCs w:val="28"/>
        </w:rPr>
        <w:t xml:space="preserve"> б</w:t>
      </w:r>
      <w:proofErr w:type="gramEnd"/>
      <w:r w:rsidRPr="00A95D8C">
        <w:rPr>
          <w:i/>
          <w:sz w:val="28"/>
          <w:szCs w:val="28"/>
        </w:rPr>
        <w:t xml:space="preserve"> </w:t>
      </w:r>
      <w:r w:rsidRPr="00A95D8C">
        <w:rPr>
          <w:sz w:val="28"/>
          <w:szCs w:val="28"/>
        </w:rPr>
        <w:t>соответственно.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 отсутствие тактирующих импульсов триггер находится в режиме хр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 xml:space="preserve">нения ранее полученной информации. С приходом импульса синхронизации происходит запись информации, установленной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Поскольку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триггеров без синхронизации не существует, то первые четыре строки табл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 xml:space="preserve">цы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>можно исключить, в результате получим сокращенную таблицу с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стояний (табл. 3.1,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9E575A" w:rsidRPr="009E575A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Таблица 3.1 – 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полная таблица (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>); сокращенная (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1260"/>
        <w:gridCol w:w="1260"/>
      </w:tblGrid>
      <w:tr w:rsidR="009E575A" w:rsidRPr="00A95D8C" w:rsidTr="0097468D">
        <w:tc>
          <w:tcPr>
            <w:tcW w:w="3888" w:type="dxa"/>
            <w:gridSpan w:val="3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  <w:r w:rsidRPr="00A95D8C">
              <w:rPr>
                <w:sz w:val="28"/>
                <w:szCs w:val="28"/>
              </w:rPr>
              <w:t>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 </w:t>
            </w:r>
            <w:r w:rsidRPr="00A95D8C">
              <w:rPr>
                <w:position w:val="-6"/>
                <w:sz w:val="28"/>
                <w:szCs w:val="28"/>
              </w:rPr>
              <w:object w:dxaOrig="400" w:dyaOrig="380">
                <v:shape id="_x0000_i1030" type="#_x0000_t75" style="width:20.25pt;height:18.75pt" o:ole="">
                  <v:imagedata r:id="rId13" o:title=""/>
                </v:shape>
                <o:OLEObject Type="Embed" ProgID="Equation.3" ShapeID="_x0000_i1030" DrawAspect="Content" ObjectID="_1638262623" r:id="rId14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1" type="#_x0000_t75" style="width:21pt;height:18pt" o:ole="">
                  <v:imagedata r:id="rId15" o:title=""/>
                </v:shape>
                <o:OLEObject Type="Embed" ProgID="Equation.3" ShapeID="_x0000_i1031" DrawAspect="Content" ObjectID="_1638262624" r:id="rId16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32" type="#_x0000_t75" style="width:20.25pt;height:21.75pt" o:ole="">
                  <v:imagedata r:id="rId17" o:title=""/>
                </v:shape>
                <o:OLEObject Type="Embed" ProgID="Equation.3" ShapeID="_x0000_i1032" DrawAspect="Content" ObjectID="_1638262625" r:id="rId18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3" type="#_x0000_t75" style="width:30pt;height:21.75pt" o:ole="">
                  <v:imagedata r:id="rId19" o:title=""/>
                </v:shape>
                <o:OLEObject Type="Embed" ProgID="Equation.3" ShapeID="_x0000_i1033" DrawAspect="Content" ObjectID="_1638262626" r:id="rId20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7174" w:tblpY="73"/>
        <w:tblW w:w="0" w:type="auto"/>
        <w:tblLook w:val="01E0" w:firstRow="1" w:lastRow="1" w:firstColumn="1" w:lastColumn="1" w:noHBand="0" w:noVBand="0"/>
      </w:tblPr>
      <w:tblGrid>
        <w:gridCol w:w="1368"/>
        <w:gridCol w:w="1620"/>
      </w:tblGrid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4" type="#_x0000_t75" style="width:21pt;height:18pt" o:ole="">
                  <v:imagedata r:id="rId15" o:title=""/>
                </v:shape>
                <o:OLEObject Type="Embed" ProgID="Equation.3" ShapeID="_x0000_i1034" DrawAspect="Content" ObjectID="_1638262627" r:id="rId21"/>
              </w:objec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5" type="#_x0000_t75" style="width:30pt;height:21.75pt" o:ole="">
                  <v:imagedata r:id="rId19" o:title=""/>
                </v:shape>
                <o:OLEObject Type="Embed" ProgID="Equation.3" ShapeID="_x0000_i1035" DrawAspect="Content" ObjectID="_1638262628" r:id="rId22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</w:tbl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      </w:t>
      </w:r>
      <w:r w:rsidRPr="00A95D8C">
        <w:rPr>
          <w:i/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            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i/>
          <w:sz w:val="28"/>
          <w:szCs w:val="28"/>
        </w:rPr>
        <w:t xml:space="preserve"> а)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запишется в виде: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position w:val="-12"/>
          <w:sz w:val="28"/>
          <w:szCs w:val="28"/>
        </w:rPr>
        <w:object w:dxaOrig="200" w:dyaOrig="380">
          <v:shape id="_x0000_i1036" type="#_x0000_t75" style="width:9.75pt;height:18.75pt" o:ole="">
            <v:imagedata r:id="rId23" o:title=""/>
          </v:shape>
          <o:OLEObject Type="Embed" ProgID="Equation.3" ShapeID="_x0000_i1036" DrawAspect="Content" ObjectID="_1638262629" r:id="rId24"/>
        </w:object>
      </w:r>
      <w:r w:rsidRPr="00A95D8C">
        <w:rPr>
          <w:position w:val="-12"/>
          <w:sz w:val="28"/>
          <w:szCs w:val="28"/>
        </w:rPr>
        <w:object w:dxaOrig="1620" w:dyaOrig="440">
          <v:shape id="_x0000_i1037" type="#_x0000_t75" style="width:81pt;height:21.75pt" o:ole="">
            <v:imagedata r:id="rId25" o:title=""/>
          </v:shape>
          <o:OLEObject Type="Embed" ProgID="Equation.3" ShapeID="_x0000_i1037" DrawAspect="Content" ObjectID="_1638262630" r:id="rId26"/>
        </w:object>
      </w:r>
    </w:p>
    <w:p w:rsidR="009E575A" w:rsidRPr="00A95D8C" w:rsidRDefault="009E575A" w:rsidP="009E575A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или в сокращенной форме: </w:t>
      </w:r>
      <w:r w:rsidRPr="00A95D8C">
        <w:rPr>
          <w:position w:val="-12"/>
          <w:sz w:val="28"/>
          <w:szCs w:val="28"/>
        </w:rPr>
        <w:object w:dxaOrig="1260" w:dyaOrig="440">
          <v:shape id="_x0000_i1038" type="#_x0000_t75" style="width:63pt;height:21.75pt" o:ole="">
            <v:imagedata r:id="rId27" o:title=""/>
          </v:shape>
          <o:OLEObject Type="Embed" ProgID="Equation.3" ShapeID="_x0000_i1038" DrawAspect="Content" ObjectID="_1638262631" r:id="rId2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Поскольку триггер задерживает на один такт информацию, поданную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предыдущем такте, то он получил название триггер «задержки».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Недостатком статического способа синхронизации является то, что з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пись информации происходит в течение длительности импульса синхрониз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 xml:space="preserve">ции и любое изменение сигнала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это время приводит к измен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нию выходного сигнала.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lastRenderedPageBreak/>
        <w:t xml:space="preserve">Программная реализация </w:t>
      </w: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-триггера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- </w:t>
      </w:r>
      <w:r w:rsidRPr="00A95D8C">
        <w:rPr>
          <w:sz w:val="28"/>
          <w:szCs w:val="28"/>
        </w:rPr>
        <w:t>триггера ан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 xml:space="preserve">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– </w:t>
      </w:r>
      <w:r w:rsidRPr="00A95D8C">
        <w:rPr>
          <w:sz w:val="28"/>
          <w:szCs w:val="28"/>
        </w:rPr>
        <w:t>триггера из группы цифровых ус</w:t>
      </w:r>
      <w:r w:rsidRPr="00A95D8C">
        <w:rPr>
          <w:sz w:val="28"/>
          <w:szCs w:val="28"/>
        </w:rPr>
        <w:t>т</w:t>
      </w:r>
      <w:r w:rsidRPr="00A95D8C">
        <w:rPr>
          <w:sz w:val="28"/>
          <w:szCs w:val="28"/>
        </w:rPr>
        <w:t>ройств (3).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7146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2.6 – Принципиальная схема для исследования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– триггера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5A"/>
    <w:rsid w:val="006919DF"/>
    <w:rsid w:val="009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8646D-E473-4143-BD51-7D50EF8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2019-12-19T06:09:00Z</dcterms:created>
  <dcterms:modified xsi:type="dcterms:W3CDTF">2019-12-19T06:09:00Z</dcterms:modified>
</cp:coreProperties>
</file>